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8E" w:rsidRPr="00B704D2" w:rsidRDefault="003342B9" w:rsidP="003342B9">
      <w:pPr>
        <w:spacing w:after="0"/>
        <w:rPr>
          <w:sz w:val="30"/>
          <w:szCs w:val="30"/>
        </w:rPr>
      </w:pPr>
      <w:r>
        <w:rPr>
          <w:sz w:val="40"/>
        </w:rPr>
        <w:tab/>
      </w:r>
      <w:r>
        <w:rPr>
          <w:sz w:val="40"/>
        </w:rPr>
        <w:tab/>
      </w:r>
      <w:r>
        <w:rPr>
          <w:sz w:val="40"/>
        </w:rPr>
        <w:tab/>
      </w:r>
      <w:r>
        <w:rPr>
          <w:sz w:val="40"/>
        </w:rPr>
        <w:tab/>
      </w:r>
      <w:r w:rsidRPr="00B704D2">
        <w:rPr>
          <w:sz w:val="48"/>
        </w:rPr>
        <w:tab/>
      </w:r>
      <w:r w:rsidRPr="00B704D2">
        <w:rPr>
          <w:sz w:val="48"/>
        </w:rPr>
        <w:tab/>
      </w:r>
      <w:r w:rsidRPr="00B704D2">
        <w:rPr>
          <w:sz w:val="48"/>
        </w:rPr>
        <w:tab/>
        <w:t>MEMO</w:t>
      </w:r>
      <w:r w:rsidR="00782A8E">
        <w:br/>
      </w:r>
      <w:r w:rsidR="00782A8E" w:rsidRPr="00B704D2">
        <w:rPr>
          <w:sz w:val="30"/>
          <w:szCs w:val="30"/>
        </w:rPr>
        <w:t>March 1, 2019</w:t>
      </w:r>
    </w:p>
    <w:p w:rsidR="00E74F4C" w:rsidRPr="00B704D2" w:rsidRDefault="00E74F4C" w:rsidP="006F52F9">
      <w:pPr>
        <w:spacing w:after="0"/>
        <w:rPr>
          <w:sz w:val="30"/>
          <w:szCs w:val="30"/>
        </w:rPr>
      </w:pPr>
    </w:p>
    <w:p w:rsidR="003B6FA3" w:rsidRPr="00B704D2" w:rsidRDefault="00782A8E" w:rsidP="006F52F9">
      <w:pPr>
        <w:spacing w:after="0"/>
        <w:rPr>
          <w:sz w:val="30"/>
          <w:szCs w:val="30"/>
        </w:rPr>
      </w:pPr>
      <w:r w:rsidRPr="00B704D2">
        <w:rPr>
          <w:sz w:val="30"/>
          <w:szCs w:val="30"/>
        </w:rPr>
        <w:t xml:space="preserve">RE: </w:t>
      </w:r>
      <w:r w:rsidR="006F52F9" w:rsidRPr="00B704D2">
        <w:rPr>
          <w:sz w:val="30"/>
          <w:szCs w:val="30"/>
        </w:rPr>
        <w:t>FY20 EDTAP Funding (July 1, 2019 to June 30, 2020)</w:t>
      </w:r>
      <w:r w:rsidR="007A5D46" w:rsidRPr="00B704D2">
        <w:rPr>
          <w:sz w:val="30"/>
          <w:szCs w:val="30"/>
        </w:rPr>
        <w:t xml:space="preserve"> &amp; 5310 Funding </w:t>
      </w:r>
    </w:p>
    <w:p w:rsidR="006F52F9" w:rsidRPr="00B704D2" w:rsidRDefault="006F52F9" w:rsidP="006F52F9">
      <w:pPr>
        <w:spacing w:after="0"/>
        <w:rPr>
          <w:sz w:val="30"/>
          <w:szCs w:val="30"/>
        </w:rPr>
      </w:pPr>
    </w:p>
    <w:p w:rsidR="006F52F9" w:rsidRPr="00B704D2" w:rsidRDefault="006F52F9" w:rsidP="006F52F9">
      <w:pPr>
        <w:spacing w:after="0"/>
        <w:rPr>
          <w:sz w:val="30"/>
          <w:szCs w:val="30"/>
        </w:rPr>
      </w:pPr>
      <w:r w:rsidRPr="00B704D2">
        <w:rPr>
          <w:sz w:val="30"/>
          <w:szCs w:val="30"/>
        </w:rPr>
        <w:t>Elderly and Disabled Transportation Assistance Program (EDTAP) provides operating assistance for the transportation of the state’s elderly and disabled citizens. This funding is provided through the Rural Operating Assistance Program (ROAP) grant each year</w:t>
      </w:r>
      <w:r w:rsidR="00782A8E" w:rsidRPr="00B704D2">
        <w:rPr>
          <w:sz w:val="30"/>
          <w:szCs w:val="30"/>
        </w:rPr>
        <w:t xml:space="preserve">. </w:t>
      </w:r>
    </w:p>
    <w:p w:rsidR="00782A8E" w:rsidRPr="00B704D2" w:rsidRDefault="00782A8E" w:rsidP="006F52F9">
      <w:pPr>
        <w:spacing w:after="0"/>
        <w:rPr>
          <w:sz w:val="30"/>
          <w:szCs w:val="30"/>
        </w:rPr>
      </w:pPr>
    </w:p>
    <w:p w:rsidR="00782A8E" w:rsidRPr="00B704D2" w:rsidRDefault="00782A8E" w:rsidP="006F52F9">
      <w:pPr>
        <w:spacing w:after="0"/>
        <w:rPr>
          <w:b/>
          <w:sz w:val="30"/>
          <w:szCs w:val="30"/>
        </w:rPr>
      </w:pPr>
      <w:r w:rsidRPr="00B704D2">
        <w:rPr>
          <w:b/>
          <w:sz w:val="30"/>
          <w:szCs w:val="30"/>
        </w:rPr>
        <w:t>Re-apply</w:t>
      </w:r>
    </w:p>
    <w:p w:rsidR="00782A8E" w:rsidRPr="00B704D2" w:rsidRDefault="00782A8E" w:rsidP="00782A8E">
      <w:pPr>
        <w:spacing w:after="0"/>
        <w:rPr>
          <w:sz w:val="30"/>
          <w:szCs w:val="30"/>
        </w:rPr>
      </w:pPr>
      <w:r w:rsidRPr="00B704D2">
        <w:rPr>
          <w:sz w:val="30"/>
          <w:szCs w:val="30"/>
        </w:rPr>
        <w:t xml:space="preserve">To ensure those who may utilize EDTAP funding for next fiscal year (July 1, 2019 to June 30, 2020) are eligible for the grant funding, Person Area Transportation System (PATS) is requiring all passengers to reapply for EDTAP funding. To apply for EDTAP funding, passengers must complete a Certification for EDTAP application. The application can be obtained on our </w:t>
      </w:r>
      <w:r w:rsidR="00251AFF" w:rsidRPr="00B704D2">
        <w:rPr>
          <w:sz w:val="30"/>
          <w:szCs w:val="30"/>
        </w:rPr>
        <w:t>website (</w:t>
      </w:r>
      <w:hyperlink r:id="rId5" w:history="1">
        <w:r w:rsidR="00251AFF" w:rsidRPr="00B704D2">
          <w:rPr>
            <w:rStyle w:val="Hyperlink"/>
            <w:sz w:val="30"/>
            <w:szCs w:val="30"/>
          </w:rPr>
          <w:t>www.personcountync.gov</w:t>
        </w:r>
      </w:hyperlink>
      <w:r w:rsidR="00251AFF" w:rsidRPr="00B704D2">
        <w:rPr>
          <w:sz w:val="30"/>
          <w:szCs w:val="30"/>
        </w:rPr>
        <w:t xml:space="preserve">) </w:t>
      </w:r>
      <w:r w:rsidRPr="00B704D2">
        <w:rPr>
          <w:sz w:val="30"/>
          <w:szCs w:val="30"/>
        </w:rPr>
        <w:t xml:space="preserve">under the Grant Overview section of the Transportation Department section and at our office (341 S Madison Blvd Roxboro NC). Please ensure you fully complete the application and attach all required paperwork as stated in the instructions. Passengers will be notified within 7 business days of the approval or denial of their application. </w:t>
      </w:r>
    </w:p>
    <w:p w:rsidR="00782A8E" w:rsidRPr="00B704D2" w:rsidRDefault="00782A8E" w:rsidP="006F52F9">
      <w:pPr>
        <w:spacing w:after="0"/>
        <w:rPr>
          <w:sz w:val="30"/>
          <w:szCs w:val="30"/>
        </w:rPr>
      </w:pPr>
    </w:p>
    <w:p w:rsidR="006F52F9" w:rsidRPr="00B704D2" w:rsidRDefault="00782A8E" w:rsidP="006F52F9">
      <w:pPr>
        <w:spacing w:after="0"/>
        <w:rPr>
          <w:b/>
          <w:sz w:val="30"/>
          <w:szCs w:val="30"/>
        </w:rPr>
      </w:pPr>
      <w:r w:rsidRPr="00B704D2">
        <w:rPr>
          <w:b/>
          <w:sz w:val="30"/>
          <w:szCs w:val="30"/>
        </w:rPr>
        <w:t>Fare cost</w:t>
      </w:r>
    </w:p>
    <w:p w:rsidR="00782A8E" w:rsidRDefault="00782A8E" w:rsidP="006F52F9">
      <w:pPr>
        <w:spacing w:after="0"/>
        <w:rPr>
          <w:sz w:val="30"/>
          <w:szCs w:val="30"/>
        </w:rPr>
      </w:pPr>
      <w:r w:rsidRPr="00B704D2">
        <w:rPr>
          <w:sz w:val="30"/>
          <w:szCs w:val="30"/>
        </w:rPr>
        <w:t xml:space="preserve">PATS has </w:t>
      </w:r>
      <w:r w:rsidR="005B78AB" w:rsidRPr="00B704D2">
        <w:rPr>
          <w:sz w:val="30"/>
          <w:szCs w:val="30"/>
        </w:rPr>
        <w:t>proposed</w:t>
      </w:r>
      <w:r w:rsidRPr="00B704D2">
        <w:rPr>
          <w:sz w:val="30"/>
          <w:szCs w:val="30"/>
        </w:rPr>
        <w:t xml:space="preserve"> a</w:t>
      </w:r>
      <w:r w:rsidR="00D92E46" w:rsidRPr="00B704D2">
        <w:rPr>
          <w:sz w:val="30"/>
          <w:szCs w:val="30"/>
        </w:rPr>
        <w:t xml:space="preserve"> nominal</w:t>
      </w:r>
      <w:r w:rsidRPr="00B704D2">
        <w:rPr>
          <w:sz w:val="30"/>
          <w:szCs w:val="30"/>
        </w:rPr>
        <w:t xml:space="preserve"> fare for EDTAP passengers to offset the cost of transportation and ensure that funding continues to be available throughout the fiscal year</w:t>
      </w:r>
      <w:r w:rsidR="005B78AB" w:rsidRPr="00B704D2">
        <w:rPr>
          <w:sz w:val="30"/>
          <w:szCs w:val="30"/>
        </w:rPr>
        <w:t>, given the increase use of EDTAP among our passengers</w:t>
      </w:r>
      <w:r w:rsidRPr="00B704D2">
        <w:rPr>
          <w:sz w:val="30"/>
          <w:szCs w:val="30"/>
        </w:rPr>
        <w:t xml:space="preserve">. Below </w:t>
      </w:r>
      <w:r w:rsidR="000D6DA5" w:rsidRPr="00B704D2">
        <w:rPr>
          <w:sz w:val="30"/>
          <w:szCs w:val="30"/>
        </w:rPr>
        <w:t xml:space="preserve">is the proposed fare pricing for EDTAP users, which would go into effect </w:t>
      </w:r>
      <w:r w:rsidR="00B704D2" w:rsidRPr="00B704D2">
        <w:rPr>
          <w:sz w:val="30"/>
          <w:szCs w:val="30"/>
        </w:rPr>
        <w:t xml:space="preserve">on July 1, 2019, if approved by the Person County Board of Commissioners. The public is encouraged to come to a public hearing to express their opinion about the proposed EDTAP fare. The public hearing will the same day as the public hearing for the FY20 Recommended Budget in June 2019. More information will be available on this in the future. </w:t>
      </w:r>
      <w:r w:rsidR="003342B9" w:rsidRPr="00B704D2">
        <w:rPr>
          <w:sz w:val="30"/>
          <w:szCs w:val="30"/>
        </w:rPr>
        <w:t>Please remember that grant funds do NOT cover no-show fees.</w:t>
      </w:r>
    </w:p>
    <w:p w:rsidR="00B704D2" w:rsidRDefault="00B704D2" w:rsidP="006F52F9">
      <w:pPr>
        <w:spacing w:after="0"/>
        <w:rPr>
          <w:sz w:val="30"/>
          <w:szCs w:val="30"/>
        </w:rPr>
      </w:pPr>
    </w:p>
    <w:p w:rsidR="00B704D2" w:rsidRPr="00B704D2" w:rsidRDefault="00B704D2" w:rsidP="006F52F9">
      <w:pPr>
        <w:spacing w:after="0"/>
        <w:rPr>
          <w:sz w:val="30"/>
          <w:szCs w:val="30"/>
        </w:rPr>
      </w:pPr>
    </w:p>
    <w:p w:rsidR="00B704D2" w:rsidRPr="00B704D2" w:rsidRDefault="00B704D2" w:rsidP="006F52F9">
      <w:pPr>
        <w:spacing w:after="0"/>
        <w:rPr>
          <w:sz w:val="30"/>
          <w:szCs w:val="30"/>
        </w:rPr>
      </w:pPr>
    </w:p>
    <w:tbl>
      <w:tblPr>
        <w:tblStyle w:val="TableGrid"/>
        <w:tblW w:w="0" w:type="auto"/>
        <w:tblInd w:w="765" w:type="dxa"/>
        <w:tblLook w:val="04A0" w:firstRow="1" w:lastRow="0" w:firstColumn="1" w:lastColumn="0" w:noHBand="0" w:noVBand="1"/>
      </w:tblPr>
      <w:tblGrid>
        <w:gridCol w:w="2358"/>
        <w:gridCol w:w="3015"/>
        <w:gridCol w:w="3915"/>
      </w:tblGrid>
      <w:tr w:rsidR="00782A8E" w:rsidRPr="00B704D2" w:rsidTr="00782A8E">
        <w:tc>
          <w:tcPr>
            <w:tcW w:w="9288" w:type="dxa"/>
            <w:gridSpan w:val="3"/>
          </w:tcPr>
          <w:p w:rsidR="00782A8E" w:rsidRPr="00B704D2" w:rsidRDefault="00782A8E" w:rsidP="00782A8E">
            <w:pPr>
              <w:spacing w:line="360" w:lineRule="auto"/>
              <w:jc w:val="center"/>
              <w:rPr>
                <w:sz w:val="30"/>
                <w:szCs w:val="30"/>
              </w:rPr>
            </w:pPr>
            <w:r w:rsidRPr="00B704D2">
              <w:rPr>
                <w:sz w:val="30"/>
                <w:szCs w:val="30"/>
              </w:rPr>
              <w:lastRenderedPageBreak/>
              <w:t>Fare Price for EDTAP Users</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w:t>
            </w:r>
          </w:p>
        </w:tc>
        <w:tc>
          <w:tcPr>
            <w:tcW w:w="3015" w:type="dxa"/>
          </w:tcPr>
          <w:p w:rsidR="00782A8E" w:rsidRPr="00B704D2" w:rsidRDefault="00782A8E" w:rsidP="00782A8E">
            <w:pPr>
              <w:spacing w:line="360" w:lineRule="auto"/>
              <w:jc w:val="center"/>
              <w:rPr>
                <w:sz w:val="30"/>
                <w:szCs w:val="30"/>
              </w:rPr>
            </w:pPr>
            <w:r w:rsidRPr="00B704D2">
              <w:rPr>
                <w:sz w:val="30"/>
                <w:szCs w:val="30"/>
              </w:rPr>
              <w:t>One-Way</w:t>
            </w:r>
          </w:p>
        </w:tc>
        <w:tc>
          <w:tcPr>
            <w:tcW w:w="3915" w:type="dxa"/>
          </w:tcPr>
          <w:p w:rsidR="00782A8E" w:rsidRPr="00B704D2" w:rsidRDefault="00782A8E" w:rsidP="00782A8E">
            <w:pPr>
              <w:spacing w:line="360" w:lineRule="auto"/>
              <w:jc w:val="center"/>
              <w:rPr>
                <w:sz w:val="30"/>
                <w:szCs w:val="30"/>
              </w:rPr>
            </w:pPr>
            <w:r w:rsidRPr="00B704D2">
              <w:rPr>
                <w:sz w:val="30"/>
                <w:szCs w:val="30"/>
              </w:rPr>
              <w:t>Round Trip</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1</w:t>
            </w:r>
          </w:p>
        </w:tc>
        <w:tc>
          <w:tcPr>
            <w:tcW w:w="3015" w:type="dxa"/>
          </w:tcPr>
          <w:p w:rsidR="00782A8E" w:rsidRPr="00B704D2" w:rsidRDefault="00782A8E" w:rsidP="00782A8E">
            <w:pPr>
              <w:spacing w:line="360" w:lineRule="auto"/>
              <w:jc w:val="center"/>
              <w:rPr>
                <w:sz w:val="30"/>
                <w:szCs w:val="30"/>
              </w:rPr>
            </w:pPr>
            <w:r w:rsidRPr="00B704D2">
              <w:rPr>
                <w:sz w:val="30"/>
                <w:szCs w:val="30"/>
              </w:rPr>
              <w:t>$1.00</w:t>
            </w:r>
          </w:p>
        </w:tc>
        <w:tc>
          <w:tcPr>
            <w:tcW w:w="3915" w:type="dxa"/>
          </w:tcPr>
          <w:p w:rsidR="00782A8E" w:rsidRPr="00B704D2" w:rsidRDefault="00782A8E" w:rsidP="00782A8E">
            <w:pPr>
              <w:spacing w:line="360" w:lineRule="auto"/>
              <w:jc w:val="center"/>
              <w:rPr>
                <w:sz w:val="30"/>
                <w:szCs w:val="30"/>
              </w:rPr>
            </w:pPr>
            <w:r w:rsidRPr="00B704D2">
              <w:rPr>
                <w:sz w:val="30"/>
                <w:szCs w:val="30"/>
              </w:rPr>
              <w:t>$2.00</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2</w:t>
            </w:r>
          </w:p>
        </w:tc>
        <w:tc>
          <w:tcPr>
            <w:tcW w:w="3015" w:type="dxa"/>
          </w:tcPr>
          <w:p w:rsidR="00782A8E" w:rsidRPr="00B704D2" w:rsidRDefault="00782A8E" w:rsidP="00782A8E">
            <w:pPr>
              <w:spacing w:line="360" w:lineRule="auto"/>
              <w:jc w:val="center"/>
              <w:rPr>
                <w:sz w:val="30"/>
                <w:szCs w:val="30"/>
              </w:rPr>
            </w:pPr>
            <w:r w:rsidRPr="00B704D2">
              <w:rPr>
                <w:sz w:val="30"/>
                <w:szCs w:val="30"/>
              </w:rPr>
              <w:t>$1.00</w:t>
            </w:r>
          </w:p>
        </w:tc>
        <w:tc>
          <w:tcPr>
            <w:tcW w:w="3915" w:type="dxa"/>
          </w:tcPr>
          <w:p w:rsidR="00782A8E" w:rsidRPr="00B704D2" w:rsidRDefault="00782A8E" w:rsidP="00782A8E">
            <w:pPr>
              <w:spacing w:line="360" w:lineRule="auto"/>
              <w:jc w:val="center"/>
              <w:rPr>
                <w:sz w:val="30"/>
                <w:szCs w:val="30"/>
              </w:rPr>
            </w:pPr>
            <w:r w:rsidRPr="00B704D2">
              <w:rPr>
                <w:sz w:val="30"/>
                <w:szCs w:val="30"/>
              </w:rPr>
              <w:t>$2.00</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3</w:t>
            </w:r>
          </w:p>
        </w:tc>
        <w:tc>
          <w:tcPr>
            <w:tcW w:w="3015" w:type="dxa"/>
          </w:tcPr>
          <w:p w:rsidR="00782A8E" w:rsidRPr="00B704D2" w:rsidRDefault="00782A8E" w:rsidP="00782A8E">
            <w:pPr>
              <w:spacing w:line="360" w:lineRule="auto"/>
              <w:jc w:val="center"/>
              <w:rPr>
                <w:sz w:val="30"/>
                <w:szCs w:val="30"/>
              </w:rPr>
            </w:pPr>
            <w:r w:rsidRPr="00B704D2">
              <w:rPr>
                <w:sz w:val="30"/>
                <w:szCs w:val="30"/>
              </w:rPr>
              <w:t>$1.00</w:t>
            </w:r>
          </w:p>
        </w:tc>
        <w:tc>
          <w:tcPr>
            <w:tcW w:w="3915" w:type="dxa"/>
          </w:tcPr>
          <w:p w:rsidR="00782A8E" w:rsidRPr="00B704D2" w:rsidRDefault="00782A8E" w:rsidP="00782A8E">
            <w:pPr>
              <w:spacing w:line="360" w:lineRule="auto"/>
              <w:jc w:val="center"/>
              <w:rPr>
                <w:sz w:val="30"/>
                <w:szCs w:val="30"/>
              </w:rPr>
            </w:pPr>
            <w:r w:rsidRPr="00B704D2">
              <w:rPr>
                <w:sz w:val="30"/>
                <w:szCs w:val="30"/>
              </w:rPr>
              <w:t>$2.00</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4</w:t>
            </w:r>
          </w:p>
        </w:tc>
        <w:tc>
          <w:tcPr>
            <w:tcW w:w="3015" w:type="dxa"/>
          </w:tcPr>
          <w:p w:rsidR="00782A8E" w:rsidRPr="00B704D2" w:rsidRDefault="00782A8E" w:rsidP="00782A8E">
            <w:pPr>
              <w:spacing w:line="360" w:lineRule="auto"/>
              <w:jc w:val="center"/>
              <w:rPr>
                <w:sz w:val="30"/>
                <w:szCs w:val="30"/>
              </w:rPr>
            </w:pPr>
            <w:r w:rsidRPr="00B704D2">
              <w:rPr>
                <w:sz w:val="30"/>
                <w:szCs w:val="30"/>
              </w:rPr>
              <w:t>$1.00</w:t>
            </w:r>
          </w:p>
        </w:tc>
        <w:tc>
          <w:tcPr>
            <w:tcW w:w="3915" w:type="dxa"/>
          </w:tcPr>
          <w:p w:rsidR="00782A8E" w:rsidRPr="00B704D2" w:rsidRDefault="00782A8E" w:rsidP="00782A8E">
            <w:pPr>
              <w:spacing w:line="360" w:lineRule="auto"/>
              <w:jc w:val="center"/>
              <w:rPr>
                <w:sz w:val="30"/>
                <w:szCs w:val="30"/>
              </w:rPr>
            </w:pPr>
            <w:r w:rsidRPr="00B704D2">
              <w:rPr>
                <w:sz w:val="30"/>
                <w:szCs w:val="30"/>
              </w:rPr>
              <w:t>$2.00</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5</w:t>
            </w:r>
          </w:p>
        </w:tc>
        <w:tc>
          <w:tcPr>
            <w:tcW w:w="3015" w:type="dxa"/>
          </w:tcPr>
          <w:p w:rsidR="00782A8E" w:rsidRPr="00B704D2" w:rsidRDefault="00782A8E" w:rsidP="00782A8E">
            <w:pPr>
              <w:spacing w:line="360" w:lineRule="auto"/>
              <w:jc w:val="center"/>
              <w:rPr>
                <w:sz w:val="30"/>
                <w:szCs w:val="30"/>
              </w:rPr>
            </w:pPr>
            <w:r w:rsidRPr="00B704D2">
              <w:rPr>
                <w:sz w:val="30"/>
                <w:szCs w:val="30"/>
              </w:rPr>
              <w:t>$1.00</w:t>
            </w:r>
          </w:p>
        </w:tc>
        <w:tc>
          <w:tcPr>
            <w:tcW w:w="3915" w:type="dxa"/>
          </w:tcPr>
          <w:p w:rsidR="00782A8E" w:rsidRPr="00B704D2" w:rsidRDefault="00782A8E" w:rsidP="00782A8E">
            <w:pPr>
              <w:spacing w:line="360" w:lineRule="auto"/>
              <w:jc w:val="center"/>
              <w:rPr>
                <w:sz w:val="30"/>
                <w:szCs w:val="30"/>
              </w:rPr>
            </w:pPr>
            <w:r w:rsidRPr="00B704D2">
              <w:rPr>
                <w:sz w:val="30"/>
                <w:szCs w:val="30"/>
              </w:rPr>
              <w:t>$2.00</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6</w:t>
            </w:r>
          </w:p>
        </w:tc>
        <w:tc>
          <w:tcPr>
            <w:tcW w:w="3015" w:type="dxa"/>
          </w:tcPr>
          <w:p w:rsidR="00782A8E" w:rsidRPr="00B704D2" w:rsidRDefault="00782A8E" w:rsidP="00782A8E">
            <w:pPr>
              <w:spacing w:line="360" w:lineRule="auto"/>
              <w:jc w:val="center"/>
              <w:rPr>
                <w:sz w:val="30"/>
                <w:szCs w:val="30"/>
              </w:rPr>
            </w:pPr>
            <w:r w:rsidRPr="00B704D2">
              <w:rPr>
                <w:sz w:val="30"/>
                <w:szCs w:val="30"/>
              </w:rPr>
              <w:t>$1.00</w:t>
            </w:r>
          </w:p>
        </w:tc>
        <w:tc>
          <w:tcPr>
            <w:tcW w:w="3915" w:type="dxa"/>
          </w:tcPr>
          <w:p w:rsidR="00782A8E" w:rsidRPr="00B704D2" w:rsidRDefault="00782A8E" w:rsidP="00782A8E">
            <w:pPr>
              <w:spacing w:line="360" w:lineRule="auto"/>
              <w:jc w:val="center"/>
              <w:rPr>
                <w:sz w:val="30"/>
                <w:szCs w:val="30"/>
              </w:rPr>
            </w:pPr>
            <w:r w:rsidRPr="00B704D2">
              <w:rPr>
                <w:sz w:val="30"/>
                <w:szCs w:val="30"/>
              </w:rPr>
              <w:t>$2.00</w:t>
            </w:r>
          </w:p>
        </w:tc>
      </w:tr>
      <w:tr w:rsidR="00782A8E" w:rsidRPr="00B704D2" w:rsidTr="00590A6D">
        <w:trPr>
          <w:trHeight w:val="70"/>
        </w:trPr>
        <w:tc>
          <w:tcPr>
            <w:tcW w:w="2358" w:type="dxa"/>
          </w:tcPr>
          <w:p w:rsidR="00782A8E" w:rsidRPr="00B704D2" w:rsidRDefault="00782A8E" w:rsidP="00782A8E">
            <w:pPr>
              <w:spacing w:line="360" w:lineRule="auto"/>
              <w:jc w:val="center"/>
              <w:rPr>
                <w:sz w:val="30"/>
                <w:szCs w:val="30"/>
              </w:rPr>
            </w:pPr>
            <w:r w:rsidRPr="00B704D2">
              <w:rPr>
                <w:sz w:val="30"/>
                <w:szCs w:val="30"/>
              </w:rPr>
              <w:t>Zone 7</w:t>
            </w:r>
          </w:p>
        </w:tc>
        <w:tc>
          <w:tcPr>
            <w:tcW w:w="3015" w:type="dxa"/>
          </w:tcPr>
          <w:p w:rsidR="00782A8E" w:rsidRPr="00B704D2" w:rsidRDefault="00782A8E" w:rsidP="00782A8E">
            <w:pPr>
              <w:spacing w:line="360" w:lineRule="auto"/>
              <w:jc w:val="center"/>
              <w:rPr>
                <w:sz w:val="30"/>
                <w:szCs w:val="30"/>
              </w:rPr>
            </w:pPr>
            <w:r w:rsidRPr="00B704D2">
              <w:rPr>
                <w:sz w:val="30"/>
                <w:szCs w:val="30"/>
              </w:rPr>
              <w:t>$2.50</w:t>
            </w:r>
          </w:p>
        </w:tc>
        <w:tc>
          <w:tcPr>
            <w:tcW w:w="3915" w:type="dxa"/>
          </w:tcPr>
          <w:p w:rsidR="00782A8E" w:rsidRPr="00B704D2" w:rsidRDefault="00782A8E" w:rsidP="00782A8E">
            <w:pPr>
              <w:spacing w:line="360" w:lineRule="auto"/>
              <w:jc w:val="center"/>
              <w:rPr>
                <w:sz w:val="30"/>
                <w:szCs w:val="30"/>
              </w:rPr>
            </w:pPr>
            <w:r w:rsidRPr="00B704D2">
              <w:rPr>
                <w:sz w:val="30"/>
                <w:szCs w:val="30"/>
              </w:rPr>
              <w:t>$5.00</w:t>
            </w:r>
          </w:p>
        </w:tc>
      </w:tr>
      <w:tr w:rsidR="00782A8E" w:rsidRPr="00B704D2" w:rsidTr="00590A6D">
        <w:tc>
          <w:tcPr>
            <w:tcW w:w="2358" w:type="dxa"/>
          </w:tcPr>
          <w:p w:rsidR="00782A8E" w:rsidRPr="00B704D2" w:rsidRDefault="00782A8E" w:rsidP="00782A8E">
            <w:pPr>
              <w:spacing w:line="360" w:lineRule="auto"/>
              <w:jc w:val="center"/>
              <w:rPr>
                <w:sz w:val="30"/>
                <w:szCs w:val="30"/>
              </w:rPr>
            </w:pPr>
            <w:r w:rsidRPr="00B704D2">
              <w:rPr>
                <w:sz w:val="30"/>
                <w:szCs w:val="30"/>
              </w:rPr>
              <w:t>Zone 8</w:t>
            </w:r>
          </w:p>
        </w:tc>
        <w:tc>
          <w:tcPr>
            <w:tcW w:w="3015" w:type="dxa"/>
          </w:tcPr>
          <w:p w:rsidR="00782A8E" w:rsidRPr="00B704D2" w:rsidRDefault="00782A8E" w:rsidP="00782A8E">
            <w:pPr>
              <w:spacing w:line="360" w:lineRule="auto"/>
              <w:jc w:val="center"/>
              <w:rPr>
                <w:sz w:val="30"/>
                <w:szCs w:val="30"/>
              </w:rPr>
            </w:pPr>
            <w:r w:rsidRPr="00B704D2">
              <w:rPr>
                <w:sz w:val="30"/>
                <w:szCs w:val="30"/>
              </w:rPr>
              <w:t>$5.00</w:t>
            </w:r>
          </w:p>
        </w:tc>
        <w:tc>
          <w:tcPr>
            <w:tcW w:w="3915" w:type="dxa"/>
          </w:tcPr>
          <w:p w:rsidR="00782A8E" w:rsidRPr="00B704D2" w:rsidRDefault="00782A8E" w:rsidP="00782A8E">
            <w:pPr>
              <w:spacing w:line="360" w:lineRule="auto"/>
              <w:jc w:val="center"/>
              <w:rPr>
                <w:sz w:val="30"/>
                <w:szCs w:val="30"/>
              </w:rPr>
            </w:pPr>
            <w:r w:rsidRPr="00B704D2">
              <w:rPr>
                <w:sz w:val="30"/>
                <w:szCs w:val="30"/>
              </w:rPr>
              <w:t>$10.00</w:t>
            </w:r>
          </w:p>
        </w:tc>
      </w:tr>
    </w:tbl>
    <w:p w:rsidR="008F2BC7" w:rsidRDefault="008F2BC7" w:rsidP="006F52F9">
      <w:pPr>
        <w:spacing w:after="0"/>
        <w:rPr>
          <w:b/>
          <w:sz w:val="30"/>
          <w:szCs w:val="30"/>
        </w:rPr>
      </w:pPr>
    </w:p>
    <w:p w:rsidR="00782A8E" w:rsidRPr="00B704D2" w:rsidRDefault="00782A8E" w:rsidP="006F52F9">
      <w:pPr>
        <w:spacing w:after="0"/>
        <w:rPr>
          <w:b/>
          <w:sz w:val="30"/>
          <w:szCs w:val="30"/>
        </w:rPr>
      </w:pPr>
      <w:r w:rsidRPr="00B704D2">
        <w:rPr>
          <w:b/>
          <w:sz w:val="30"/>
          <w:szCs w:val="30"/>
        </w:rPr>
        <w:t>Zone 7: Prospect Hill, Hillsborough, Durham (Zip codes 27701, 27704, 27705, 27710, 27712)</w:t>
      </w:r>
    </w:p>
    <w:p w:rsidR="00782A8E" w:rsidRPr="00B704D2" w:rsidRDefault="00782A8E" w:rsidP="006F52F9">
      <w:pPr>
        <w:spacing w:after="0"/>
        <w:rPr>
          <w:b/>
          <w:sz w:val="30"/>
          <w:szCs w:val="30"/>
        </w:rPr>
      </w:pPr>
      <w:r w:rsidRPr="00B704D2">
        <w:rPr>
          <w:b/>
          <w:sz w:val="30"/>
          <w:szCs w:val="30"/>
        </w:rPr>
        <w:t xml:space="preserve">Zone 8: Chapel Hill &amp; Durham (Zip codes 27703, 27707, 27713) </w:t>
      </w:r>
    </w:p>
    <w:p w:rsidR="00782A8E" w:rsidRPr="00B704D2" w:rsidRDefault="00782A8E" w:rsidP="006F52F9">
      <w:pPr>
        <w:spacing w:after="0"/>
        <w:rPr>
          <w:sz w:val="30"/>
          <w:szCs w:val="30"/>
        </w:rPr>
      </w:pPr>
    </w:p>
    <w:p w:rsidR="007A5D46" w:rsidRPr="00B704D2" w:rsidRDefault="007A5D46" w:rsidP="006F52F9">
      <w:pPr>
        <w:spacing w:after="0"/>
        <w:rPr>
          <w:b/>
          <w:sz w:val="30"/>
          <w:szCs w:val="30"/>
        </w:rPr>
      </w:pPr>
      <w:r w:rsidRPr="00B704D2">
        <w:rPr>
          <w:b/>
          <w:sz w:val="30"/>
          <w:szCs w:val="30"/>
        </w:rPr>
        <w:t>5310 Elderly Individuals and Individuals with Disabilities Program</w:t>
      </w:r>
    </w:p>
    <w:p w:rsidR="00A559FE" w:rsidRDefault="007A5D46" w:rsidP="006F52F9">
      <w:pPr>
        <w:spacing w:after="0"/>
        <w:rPr>
          <w:sz w:val="30"/>
          <w:szCs w:val="30"/>
        </w:rPr>
      </w:pPr>
      <w:r w:rsidRPr="00B704D2">
        <w:rPr>
          <w:sz w:val="30"/>
          <w:szCs w:val="30"/>
        </w:rPr>
        <w:t>Another funding option that would cover the full cost of transportation is the 5310 Grant Program. The program is offered to those 65+ and those with a</w:t>
      </w:r>
      <w:r w:rsidR="000029E4">
        <w:rPr>
          <w:sz w:val="30"/>
          <w:szCs w:val="30"/>
        </w:rPr>
        <w:t xml:space="preserve">n ADA defined </w:t>
      </w:r>
      <w:r w:rsidR="000029E4" w:rsidRPr="00B704D2">
        <w:rPr>
          <w:sz w:val="30"/>
          <w:szCs w:val="30"/>
        </w:rPr>
        <w:t>disability</w:t>
      </w:r>
      <w:r w:rsidRPr="00B704D2">
        <w:rPr>
          <w:sz w:val="30"/>
          <w:szCs w:val="30"/>
        </w:rPr>
        <w:t>. The Kerr-Tar Regional Council of Government, which covers Person County, applies to this grant each year. This grant mostly covers medical related appointments. Applications for this program can be obtained on our website and at our office as well. Approval for this program is subject to the approval of grant funds each year.</w:t>
      </w:r>
      <w:r w:rsidR="00A559FE">
        <w:rPr>
          <w:sz w:val="30"/>
          <w:szCs w:val="30"/>
        </w:rPr>
        <w:t xml:space="preserve"> For the current year (June 1, 2018 to June 30, 2019), there is still funding available.</w:t>
      </w:r>
    </w:p>
    <w:p w:rsidR="003342B9" w:rsidRPr="00B704D2" w:rsidRDefault="003342B9" w:rsidP="006F52F9">
      <w:pPr>
        <w:spacing w:after="0"/>
        <w:rPr>
          <w:sz w:val="30"/>
          <w:szCs w:val="30"/>
        </w:rPr>
      </w:pPr>
      <w:r w:rsidRPr="00B704D2">
        <w:rPr>
          <w:sz w:val="30"/>
          <w:szCs w:val="30"/>
        </w:rPr>
        <w:t xml:space="preserve"> </w:t>
      </w:r>
      <w:r w:rsidR="006712C1" w:rsidRPr="00B704D2">
        <w:rPr>
          <w:sz w:val="30"/>
          <w:szCs w:val="30"/>
        </w:rPr>
        <w:t xml:space="preserve"> </w:t>
      </w:r>
      <w:r w:rsidR="006712C1" w:rsidRPr="00B704D2">
        <w:rPr>
          <w:i/>
          <w:sz w:val="30"/>
          <w:szCs w:val="30"/>
        </w:rPr>
        <w:t>**NOTE: Passengers with Medicaid health insurance do NOT qualify.</w:t>
      </w:r>
    </w:p>
    <w:p w:rsidR="007A5D46" w:rsidRPr="00B704D2" w:rsidRDefault="007A5D46" w:rsidP="006F52F9">
      <w:pPr>
        <w:spacing w:after="0"/>
        <w:rPr>
          <w:sz w:val="30"/>
          <w:szCs w:val="30"/>
        </w:rPr>
      </w:pPr>
    </w:p>
    <w:p w:rsidR="00C207E4" w:rsidRPr="00B704D2" w:rsidRDefault="00C207E4" w:rsidP="006F52F9">
      <w:pPr>
        <w:spacing w:after="0"/>
        <w:rPr>
          <w:sz w:val="30"/>
          <w:szCs w:val="30"/>
        </w:rPr>
      </w:pPr>
      <w:r w:rsidRPr="00B704D2">
        <w:rPr>
          <w:sz w:val="30"/>
          <w:szCs w:val="30"/>
        </w:rPr>
        <w:t>Please contact our office at 336-</w:t>
      </w:r>
      <w:bookmarkStart w:id="0" w:name="_GoBack"/>
      <w:bookmarkEnd w:id="0"/>
      <w:r w:rsidRPr="00B704D2">
        <w:rPr>
          <w:sz w:val="30"/>
          <w:szCs w:val="30"/>
        </w:rPr>
        <w:t xml:space="preserve">597-1771 with any questions or concerns. </w:t>
      </w:r>
    </w:p>
    <w:sectPr w:rsidR="00C207E4" w:rsidRPr="00B704D2" w:rsidSect="00782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F9"/>
    <w:rsid w:val="000029E4"/>
    <w:rsid w:val="000D6DA5"/>
    <w:rsid w:val="00251AFF"/>
    <w:rsid w:val="003342B9"/>
    <w:rsid w:val="003B6FA3"/>
    <w:rsid w:val="00403E6A"/>
    <w:rsid w:val="00540C6F"/>
    <w:rsid w:val="00590A6D"/>
    <w:rsid w:val="005B78AB"/>
    <w:rsid w:val="00661C18"/>
    <w:rsid w:val="006712C1"/>
    <w:rsid w:val="006C7E9E"/>
    <w:rsid w:val="006F52F9"/>
    <w:rsid w:val="00782A8E"/>
    <w:rsid w:val="007A5D46"/>
    <w:rsid w:val="008F2BC7"/>
    <w:rsid w:val="00901381"/>
    <w:rsid w:val="00A432FA"/>
    <w:rsid w:val="00A559FE"/>
    <w:rsid w:val="00B704D2"/>
    <w:rsid w:val="00C207E4"/>
    <w:rsid w:val="00D92E46"/>
    <w:rsid w:val="00E7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soncounty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Labar Jr.</dc:creator>
  <cp:lastModifiedBy>Glen Labar Jr.</cp:lastModifiedBy>
  <cp:revision>22</cp:revision>
  <dcterms:created xsi:type="dcterms:W3CDTF">2019-02-04T17:38:00Z</dcterms:created>
  <dcterms:modified xsi:type="dcterms:W3CDTF">2019-03-01T13:40:00Z</dcterms:modified>
</cp:coreProperties>
</file>